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8A91C" w14:textId="69FB969E" w:rsidR="00C73483" w:rsidRPr="004F7192" w:rsidRDefault="004F7192" w:rsidP="00950FB6">
      <w:pPr>
        <w:pStyle w:val="Textoindependiente"/>
        <w:spacing w:line="235" w:lineRule="auto"/>
        <w:ind w:left="0" w:right="103"/>
        <w:jc w:val="center"/>
        <w:rPr>
          <w:b/>
          <w:bCs/>
          <w:sz w:val="18"/>
        </w:rPr>
      </w:pPr>
      <w:r w:rsidRPr="004F7192">
        <w:rPr>
          <w:b/>
          <w:bCs/>
          <w:sz w:val="18"/>
        </w:rPr>
        <w:t>INSTRUMENTO DE ADHERENCIA A LA GUÍA DE ATENCIÓN EN SÍFILIS GESTACIONAL</w:t>
      </w:r>
    </w:p>
    <w:p w14:paraId="46C1EC3F" w14:textId="77777777" w:rsidR="004F7192" w:rsidRDefault="004F7192" w:rsidP="00950FB6">
      <w:pPr>
        <w:pStyle w:val="Textoindependiente"/>
        <w:spacing w:line="235" w:lineRule="auto"/>
        <w:ind w:left="0" w:right="103"/>
        <w:jc w:val="center"/>
        <w:rPr>
          <w:b/>
          <w:bCs/>
          <w:sz w:val="18"/>
        </w:rPr>
      </w:pPr>
    </w:p>
    <w:p w14:paraId="1C61CB75" w14:textId="77777777" w:rsidR="001F5775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  <w:r w:rsidRPr="001F5775">
        <w:rPr>
          <w:rFonts w:ascii="Arial" w:hAnsi="Arial" w:cs="Arial"/>
          <w:b/>
          <w:bCs/>
          <w:lang w:val="es-CO"/>
        </w:rPr>
        <w:t>OBJETIVO</w:t>
      </w:r>
    </w:p>
    <w:p w14:paraId="6FC9C535" w14:textId="77777777" w:rsidR="001F5775" w:rsidRPr="001F5775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</w:p>
    <w:p w14:paraId="6EC70CF6" w14:textId="77777777" w:rsidR="001F5775" w:rsidRPr="0092466F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  <w:r w:rsidRPr="0092466F">
        <w:rPr>
          <w:rFonts w:ascii="Arial" w:hAnsi="Arial" w:cs="Arial"/>
          <w:lang w:val="es-CO"/>
        </w:rPr>
        <w:t>Establecer los lineamientos para la correcta aplicación del Instrumento de Adherencia a la Guía de Práctica Clínica (GPC) para la detección temprana, diagnóstico, tratamiento y seguimiento de la sífilis gestacional, con el fin de evaluar la calidad de la atención brindada a las gestantes y verificar el cumplimiento de las recomendaciones establecidas en la normatividad vigente y guías clínicas adoptadas en el país.</w:t>
      </w:r>
    </w:p>
    <w:p w14:paraId="41153A04" w14:textId="77777777" w:rsidR="001F5775" w:rsidRPr="001F5775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</w:p>
    <w:p w14:paraId="654921D1" w14:textId="77777777" w:rsidR="001F5775" w:rsidRPr="001F5775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  <w:r w:rsidRPr="001F5775">
        <w:rPr>
          <w:rFonts w:ascii="Arial" w:hAnsi="Arial" w:cs="Arial"/>
          <w:b/>
          <w:bCs/>
          <w:lang w:val="es-CO"/>
        </w:rPr>
        <w:t>ALCANCE</w:t>
      </w:r>
    </w:p>
    <w:p w14:paraId="76E01E91" w14:textId="77777777" w:rsidR="001F5775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</w:p>
    <w:p w14:paraId="41A330DB" w14:textId="665F7388" w:rsidR="001F5775" w:rsidRPr="001F5775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  <w:r w:rsidRPr="001F5775">
        <w:rPr>
          <w:rFonts w:ascii="Arial" w:hAnsi="Arial" w:cs="Arial"/>
          <w:lang w:val="es-CO"/>
        </w:rPr>
        <w:t>Este instructivo aplica a la revisión de historias clínicas de gestantes, mujeres en posparto o posaborto con diagnóstico probable o confirmado de sífilis gestacional, atendidas en instituciones prestadoras de servicios de salud de mediana y alta complejidad.</w:t>
      </w:r>
    </w:p>
    <w:p w14:paraId="2C962AE9" w14:textId="77777777" w:rsidR="001F5775" w:rsidRPr="001F5775" w:rsidRDefault="001F5775" w:rsidP="001F5775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  <w:r w:rsidRPr="001F5775">
        <w:rPr>
          <w:rFonts w:ascii="Arial" w:hAnsi="Arial" w:cs="Arial"/>
          <w:lang w:val="es-CO"/>
        </w:rPr>
        <w:t>Inicia con la verificación del registro de antecedentes, diagnóstico, clasificación clínica, manejo terapéutico, seguimiento serológico y educación brindada a la paciente y sus contactos, y finaliza con la calificación del cumplimiento de los criterios establecidos en el instrumento.</w:t>
      </w:r>
    </w:p>
    <w:p w14:paraId="03AA0900" w14:textId="4D0A3A0C" w:rsidR="00865B8E" w:rsidRPr="005A7B97" w:rsidRDefault="00865B8E" w:rsidP="005A7B97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5A7B97">
        <w:rPr>
          <w:rFonts w:ascii="Arial" w:hAnsi="Arial" w:cs="Arial"/>
        </w:rPr>
        <w:t>.</w:t>
      </w:r>
    </w:p>
    <w:p w14:paraId="1336E387" w14:textId="77777777" w:rsidR="005A7B97" w:rsidRDefault="005A7B97" w:rsidP="005A7B97">
      <w:pPr>
        <w:pStyle w:val="Textoindependiente"/>
        <w:spacing w:line="235" w:lineRule="auto"/>
        <w:ind w:left="-820" w:right="103"/>
        <w:jc w:val="both"/>
        <w:rPr>
          <w:rFonts w:ascii="Arial" w:hAnsi="Arial" w:cs="Arial"/>
          <w:b/>
          <w:bCs/>
        </w:rPr>
      </w:pPr>
    </w:p>
    <w:p w14:paraId="37853B60" w14:textId="18691AD4" w:rsidR="00865B8E" w:rsidRPr="00865B8E" w:rsidRDefault="00865B8E" w:rsidP="005A7B97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865B8E">
        <w:rPr>
          <w:rFonts w:ascii="Arial" w:hAnsi="Arial" w:cs="Arial"/>
          <w:b/>
          <w:bCs/>
        </w:rPr>
        <w:t>Profesionales responsables de la aplicación del instrumento:</w:t>
      </w:r>
    </w:p>
    <w:p w14:paraId="60F987FE" w14:textId="2515C773" w:rsidR="00851161" w:rsidRPr="00851161" w:rsidRDefault="00851161" w:rsidP="00851161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851161">
        <w:rPr>
          <w:rFonts w:ascii="Arial" w:hAnsi="Arial" w:cs="Arial"/>
          <w:lang w:val="es-CO"/>
        </w:rPr>
        <w:t>Médicos especialistas en ginecología y obstetricia.</w:t>
      </w:r>
    </w:p>
    <w:p w14:paraId="5FE2F2B7" w14:textId="347078EE" w:rsidR="00851161" w:rsidRPr="00851161" w:rsidRDefault="00851161" w:rsidP="00851161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851161">
        <w:rPr>
          <w:rFonts w:ascii="Arial" w:hAnsi="Arial" w:cs="Arial"/>
          <w:lang w:val="es-CO"/>
        </w:rPr>
        <w:t>Médicos generales con funciones en atención materna.</w:t>
      </w:r>
    </w:p>
    <w:p w14:paraId="20862F59" w14:textId="6BEDB359" w:rsidR="00851161" w:rsidRPr="00851161" w:rsidRDefault="00851161" w:rsidP="00851161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851161">
        <w:rPr>
          <w:rFonts w:ascii="Arial" w:hAnsi="Arial" w:cs="Arial"/>
          <w:lang w:val="es-CO"/>
        </w:rPr>
        <w:t>Enfermeros profesionales del programa materno perinatal.</w:t>
      </w:r>
    </w:p>
    <w:p w14:paraId="56D32D24" w14:textId="13A3864A" w:rsidR="00851161" w:rsidRPr="00851161" w:rsidRDefault="00851161" w:rsidP="00851161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851161">
        <w:rPr>
          <w:rFonts w:ascii="Arial" w:hAnsi="Arial" w:cs="Arial"/>
          <w:lang w:val="es-CO"/>
        </w:rPr>
        <w:t>Auditores médicos o de enfermería.</w:t>
      </w:r>
    </w:p>
    <w:p w14:paraId="7E77A6AD" w14:textId="22C920A5" w:rsidR="00851161" w:rsidRPr="00851161" w:rsidRDefault="00851161" w:rsidP="00851161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851161">
        <w:rPr>
          <w:rFonts w:ascii="Arial" w:hAnsi="Arial" w:cs="Arial"/>
          <w:lang w:val="es-CO"/>
        </w:rPr>
        <w:t>Profesionales del área de calidad en salud.</w:t>
      </w:r>
    </w:p>
    <w:p w14:paraId="2A387243" w14:textId="77777777" w:rsidR="00851161" w:rsidRDefault="00851161" w:rsidP="00851161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851161">
        <w:rPr>
          <w:rFonts w:ascii="Arial" w:hAnsi="Arial" w:cs="Arial"/>
          <w:lang w:val="es-CO"/>
        </w:rPr>
        <w:t>Epidemiólogos o profesionales encargados de vigilancia epidemiológica institucional, cuando aplique.</w:t>
      </w:r>
    </w:p>
    <w:p w14:paraId="46F49550" w14:textId="77777777" w:rsidR="0079572B" w:rsidRDefault="0079572B" w:rsidP="0079572B">
      <w:pPr>
        <w:pStyle w:val="Textoindependiente"/>
        <w:spacing w:line="235" w:lineRule="auto"/>
        <w:ind w:left="720" w:right="103"/>
        <w:jc w:val="both"/>
        <w:rPr>
          <w:rFonts w:ascii="Arial" w:hAnsi="Arial" w:cs="Arial"/>
          <w:lang w:val="es-CO"/>
        </w:rPr>
      </w:pPr>
    </w:p>
    <w:p w14:paraId="2CC0ED6E" w14:textId="795E1AD6" w:rsidR="00865B8E" w:rsidRPr="00865B8E" w:rsidRDefault="00865B8E" w:rsidP="00851161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865B8E">
        <w:rPr>
          <w:rFonts w:ascii="Arial" w:hAnsi="Arial" w:cs="Arial"/>
          <w:b/>
          <w:bCs/>
        </w:rPr>
        <w:t>Este instructivo aplica en los siguientes servicios:</w:t>
      </w:r>
    </w:p>
    <w:p w14:paraId="7F9BD553" w14:textId="50AEE907" w:rsidR="002229B8" w:rsidRPr="002229B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Consulta externa de control prenatal.</w:t>
      </w:r>
    </w:p>
    <w:p w14:paraId="1853D57A" w14:textId="612E80D1" w:rsidR="002229B8" w:rsidRPr="002229B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Servicio de urgencias obstétricas.</w:t>
      </w:r>
    </w:p>
    <w:p w14:paraId="63317AC4" w14:textId="5010B282" w:rsidR="002229B8" w:rsidRPr="002229B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Hospitalización obstétrica.</w:t>
      </w:r>
    </w:p>
    <w:p w14:paraId="7C3F9C0C" w14:textId="2B9D043D" w:rsidR="002229B8" w:rsidRPr="002229B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Sala de partos.</w:t>
      </w:r>
    </w:p>
    <w:p w14:paraId="2F527950" w14:textId="41B857ED" w:rsidR="002229B8" w:rsidRPr="002229B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Servicio de alto riesgo obstétrico.</w:t>
      </w:r>
    </w:p>
    <w:p w14:paraId="0A04BCC5" w14:textId="5811E8AD" w:rsidR="002229B8" w:rsidRPr="002229B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Programas de atención materno perinatal.</w:t>
      </w:r>
    </w:p>
    <w:p w14:paraId="72CA88B6" w14:textId="42181CEC" w:rsidR="002229B8" w:rsidRPr="002229B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Consulta posparto o posaborto.</w:t>
      </w:r>
    </w:p>
    <w:p w14:paraId="0BD3C828" w14:textId="321A6F0A" w:rsidR="001011D8" w:rsidRDefault="002229B8" w:rsidP="002229B8">
      <w:pPr>
        <w:pStyle w:val="Textoindependiente"/>
        <w:numPr>
          <w:ilvl w:val="0"/>
          <w:numId w:val="13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2229B8">
        <w:rPr>
          <w:rFonts w:ascii="Arial" w:hAnsi="Arial" w:cs="Arial"/>
          <w:lang w:val="es-CO"/>
        </w:rPr>
        <w:t>Servicios donde se realice diagnóstico y tratamiento de infecciones de transmisión sexual (ITS), cuando aplique.</w:t>
      </w:r>
    </w:p>
    <w:p w14:paraId="39D28B90" w14:textId="77777777" w:rsidR="002229B8" w:rsidRDefault="002229B8" w:rsidP="002229B8">
      <w:pPr>
        <w:pStyle w:val="Textoindependiente"/>
        <w:spacing w:line="235" w:lineRule="auto"/>
        <w:ind w:left="720" w:right="103"/>
        <w:jc w:val="both"/>
        <w:rPr>
          <w:rFonts w:ascii="Arial" w:hAnsi="Arial" w:cs="Arial"/>
          <w:lang w:val="es-CO"/>
        </w:rPr>
      </w:pPr>
    </w:p>
    <w:p w14:paraId="3312BCE9" w14:textId="18582990" w:rsidR="005D189A" w:rsidRDefault="005D189A" w:rsidP="00D30D27">
      <w:pPr>
        <w:pStyle w:val="Textoindependiente"/>
        <w:numPr>
          <w:ilvl w:val="0"/>
          <w:numId w:val="33"/>
        </w:numPr>
        <w:tabs>
          <w:tab w:val="left" w:pos="5580"/>
        </w:tabs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ANTECEDENTES DE LA ENFERMEDAD Y MANEJO</w:t>
      </w:r>
      <w:r w:rsidR="00D30D27">
        <w:rPr>
          <w:rFonts w:ascii="Arial" w:hAnsi="Arial" w:cs="Arial"/>
          <w:b/>
          <w:bCs/>
        </w:rPr>
        <w:tab/>
      </w:r>
    </w:p>
    <w:p w14:paraId="68DD998A" w14:textId="77777777" w:rsidR="00D30D27" w:rsidRPr="005D189A" w:rsidRDefault="00D30D27" w:rsidP="00D30D27">
      <w:pPr>
        <w:pStyle w:val="Textoindependiente"/>
        <w:tabs>
          <w:tab w:val="left" w:pos="5580"/>
        </w:tabs>
        <w:spacing w:line="235" w:lineRule="auto"/>
        <w:ind w:left="0" w:right="103"/>
        <w:rPr>
          <w:rFonts w:ascii="Arial" w:hAnsi="Arial" w:cs="Arial"/>
          <w:b/>
          <w:bCs/>
        </w:rPr>
      </w:pPr>
    </w:p>
    <w:p w14:paraId="70E60DEF" w14:textId="743A5C93" w:rsidR="005D189A" w:rsidRPr="005D189A" w:rsidRDefault="005D189A" w:rsidP="008139B6">
      <w:pPr>
        <w:pStyle w:val="Textoindependiente"/>
        <w:numPr>
          <w:ilvl w:val="0"/>
          <w:numId w:val="35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Antecedente de sífilis e Infecciones de Transmisión Sexual</w:t>
      </w:r>
    </w:p>
    <w:p w14:paraId="44B17B1E" w14:textId="77777777" w:rsidR="005D189A" w:rsidRPr="0020376B" w:rsidRDefault="005D189A" w:rsidP="00D30D27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CUMPLE:</w:t>
      </w:r>
      <w:r w:rsidRPr="0020376B">
        <w:rPr>
          <w:rFonts w:ascii="Arial" w:hAnsi="Arial" w:cs="Arial"/>
        </w:rPr>
        <w:br/>
        <w:t>Cuando en la historia clínica se evidencia el registro explícito de antecedentes personales de sífilis o infecciones de transmisión sexual previas, incluyendo fecha aproximada o confirmación diagnóstica cuando aplique.</w:t>
      </w:r>
    </w:p>
    <w:p w14:paraId="67CCF9F3" w14:textId="77777777" w:rsidR="005D189A" w:rsidRPr="0020376B" w:rsidRDefault="005D189A" w:rsidP="00D30D27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lastRenderedPageBreak/>
        <w:t>NO CUMPLE:</w:t>
      </w:r>
      <w:r w:rsidRPr="0020376B">
        <w:rPr>
          <w:rFonts w:ascii="Arial" w:hAnsi="Arial" w:cs="Arial"/>
        </w:rPr>
        <w:br/>
        <w:t>Cuando no se evidencia registro de antecedentes de sífilis o ITS en la historia clínica, o la información es incompleta o ambigua.</w:t>
      </w:r>
    </w:p>
    <w:p w14:paraId="3D9DC721" w14:textId="73D5E6ED" w:rsidR="005D189A" w:rsidRDefault="005D189A" w:rsidP="0020376B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N</w:t>
      </w:r>
      <w:r w:rsidR="008139B6">
        <w:rPr>
          <w:rFonts w:ascii="Arial" w:hAnsi="Arial" w:cs="Arial"/>
        </w:rPr>
        <w:t xml:space="preserve">O </w:t>
      </w:r>
      <w:r w:rsidRPr="0020376B">
        <w:rPr>
          <w:rFonts w:ascii="Arial" w:hAnsi="Arial" w:cs="Arial"/>
        </w:rPr>
        <w:t>A</w:t>
      </w:r>
      <w:r w:rsidR="008139B6">
        <w:rPr>
          <w:rFonts w:ascii="Arial" w:hAnsi="Arial" w:cs="Arial"/>
        </w:rPr>
        <w:t>PLICA</w:t>
      </w:r>
      <w:r w:rsidRPr="0020376B">
        <w:rPr>
          <w:rFonts w:ascii="Arial" w:hAnsi="Arial" w:cs="Arial"/>
        </w:rPr>
        <w:t>:</w:t>
      </w:r>
      <w:r w:rsidRPr="0020376B">
        <w:rPr>
          <w:rFonts w:ascii="Arial" w:hAnsi="Arial" w:cs="Arial"/>
        </w:rPr>
        <w:br/>
        <w:t>Cuando la historia clínica corresponde a un primer contacto sin información disponible previa o cuando el antecedente no es aplicable al caso evaluado.</w:t>
      </w:r>
    </w:p>
    <w:p w14:paraId="26D6684F" w14:textId="77777777" w:rsidR="008139B6" w:rsidRPr="0020376B" w:rsidRDefault="008139B6" w:rsidP="0020376B">
      <w:pPr>
        <w:pStyle w:val="Textoindependiente"/>
        <w:spacing w:line="235" w:lineRule="auto"/>
        <w:ind w:left="0" w:right="103"/>
        <w:rPr>
          <w:rFonts w:ascii="Arial" w:hAnsi="Arial" w:cs="Arial"/>
        </w:rPr>
      </w:pPr>
    </w:p>
    <w:p w14:paraId="68ED0D62" w14:textId="0B0058D3" w:rsidR="005D189A" w:rsidRPr="005D189A" w:rsidRDefault="005D189A" w:rsidP="008139B6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Antecedente de tratamiento administrado a la gestante (si tiene antecedente)</w:t>
      </w:r>
    </w:p>
    <w:p w14:paraId="692764FB" w14:textId="77777777" w:rsidR="005D189A" w:rsidRPr="008139B6" w:rsidRDefault="005D189A" w:rsidP="008139B6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8139B6">
        <w:rPr>
          <w:rFonts w:ascii="Arial" w:hAnsi="Arial" w:cs="Arial"/>
        </w:rPr>
        <w:t>CUMPLE:</w:t>
      </w:r>
      <w:r w:rsidRPr="008139B6">
        <w:rPr>
          <w:rFonts w:ascii="Arial" w:hAnsi="Arial" w:cs="Arial"/>
        </w:rPr>
        <w:br/>
        <w:t>Cuando se registra en historia clínica el tratamiento previo recibido por la gestante para sífilis, incluyendo tipo de medicamento, dosis y fechas aproximadas.</w:t>
      </w:r>
    </w:p>
    <w:p w14:paraId="2759DF1B" w14:textId="77777777" w:rsidR="005D189A" w:rsidRPr="008139B6" w:rsidRDefault="005D189A" w:rsidP="008139B6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8139B6">
        <w:rPr>
          <w:rFonts w:ascii="Arial" w:hAnsi="Arial" w:cs="Arial"/>
        </w:rPr>
        <w:t>NO CUMPLE:</w:t>
      </w:r>
      <w:r w:rsidRPr="008139B6">
        <w:rPr>
          <w:rFonts w:ascii="Arial" w:hAnsi="Arial" w:cs="Arial"/>
        </w:rPr>
        <w:br/>
        <w:t xml:space="preserve">Cuando la gestante refiere antecedente de </w:t>
      </w:r>
      <w:proofErr w:type="gramStart"/>
      <w:r w:rsidRPr="008139B6">
        <w:rPr>
          <w:rFonts w:ascii="Arial" w:hAnsi="Arial" w:cs="Arial"/>
        </w:rPr>
        <w:t>sífilis</w:t>
      </w:r>
      <w:proofErr w:type="gramEnd"/>
      <w:r w:rsidRPr="008139B6">
        <w:rPr>
          <w:rFonts w:ascii="Arial" w:hAnsi="Arial" w:cs="Arial"/>
        </w:rPr>
        <w:t xml:space="preserve"> pero no se registra información sobre tratamiento recibido o esta es incompleta.</w:t>
      </w:r>
    </w:p>
    <w:p w14:paraId="398EE80D" w14:textId="4E64D299" w:rsidR="008139B6" w:rsidRDefault="00FF00F2" w:rsidP="00D30D27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 </w:t>
      </w:r>
      <w:r w:rsidRPr="0020376B">
        <w:rPr>
          <w:rFonts w:ascii="Arial" w:hAnsi="Arial" w:cs="Arial"/>
        </w:rPr>
        <w:t>A</w:t>
      </w:r>
      <w:r>
        <w:rPr>
          <w:rFonts w:ascii="Arial" w:hAnsi="Arial" w:cs="Arial"/>
        </w:rPr>
        <w:t>PLICA</w:t>
      </w:r>
      <w:r w:rsidRPr="0020376B">
        <w:rPr>
          <w:rFonts w:ascii="Arial" w:hAnsi="Arial" w:cs="Arial"/>
        </w:rPr>
        <w:t>:</w:t>
      </w:r>
      <w:r w:rsidR="005D189A" w:rsidRPr="008139B6">
        <w:rPr>
          <w:rFonts w:ascii="Arial" w:hAnsi="Arial" w:cs="Arial"/>
        </w:rPr>
        <w:br/>
        <w:t xml:space="preserve">Cuando la gestante no presenta </w:t>
      </w:r>
      <w:proofErr w:type="gramStart"/>
      <w:r w:rsidR="005D189A" w:rsidRPr="008139B6">
        <w:rPr>
          <w:rFonts w:ascii="Arial" w:hAnsi="Arial" w:cs="Arial"/>
        </w:rPr>
        <w:t>antecedente previo</w:t>
      </w:r>
      <w:proofErr w:type="gramEnd"/>
      <w:r w:rsidR="005D189A" w:rsidRPr="008139B6">
        <w:rPr>
          <w:rFonts w:ascii="Arial" w:hAnsi="Arial" w:cs="Arial"/>
        </w:rPr>
        <w:t xml:space="preserve"> de sífilis.</w:t>
      </w:r>
    </w:p>
    <w:p w14:paraId="06497FF6" w14:textId="77777777" w:rsidR="008139B6" w:rsidRDefault="008139B6" w:rsidP="00D30D27">
      <w:pPr>
        <w:pStyle w:val="Textoindependiente"/>
        <w:spacing w:line="235" w:lineRule="auto"/>
        <w:ind w:left="0" w:right="103"/>
        <w:rPr>
          <w:rFonts w:ascii="Arial" w:hAnsi="Arial" w:cs="Arial"/>
        </w:rPr>
      </w:pPr>
    </w:p>
    <w:p w14:paraId="0F693D49" w14:textId="6CFCCE9A" w:rsidR="005D189A" w:rsidRPr="008139B6" w:rsidRDefault="005D189A" w:rsidP="008139B6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</w:rPr>
      </w:pPr>
      <w:r w:rsidRPr="005D189A">
        <w:rPr>
          <w:rFonts w:ascii="Arial" w:hAnsi="Arial" w:cs="Arial"/>
          <w:b/>
          <w:bCs/>
        </w:rPr>
        <w:t>Tratamiento administrado a los contactos (si tiene antecedente)</w:t>
      </w:r>
    </w:p>
    <w:p w14:paraId="5360D90F" w14:textId="77777777" w:rsidR="005D189A" w:rsidRPr="003B4D81" w:rsidRDefault="005D189A" w:rsidP="008139B6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3B4D81">
        <w:rPr>
          <w:rFonts w:ascii="Arial" w:hAnsi="Arial" w:cs="Arial"/>
        </w:rPr>
        <w:t>CUMPLE:</w:t>
      </w:r>
      <w:r w:rsidRPr="003B4D81">
        <w:rPr>
          <w:rFonts w:ascii="Arial" w:hAnsi="Arial" w:cs="Arial"/>
        </w:rPr>
        <w:br/>
        <w:t>Cuando se evidencia en historia clínica que se indagó y registró si los contactos sexuales recibieron tratamiento, incluyendo evidencia de indicación o remisión.</w:t>
      </w:r>
    </w:p>
    <w:p w14:paraId="4573EF7D" w14:textId="77777777" w:rsidR="005D189A" w:rsidRPr="003B4D81" w:rsidRDefault="005D189A" w:rsidP="008139B6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3B4D81">
        <w:rPr>
          <w:rFonts w:ascii="Arial" w:hAnsi="Arial" w:cs="Arial"/>
        </w:rPr>
        <w:t>NO CUMPLE:</w:t>
      </w:r>
      <w:r w:rsidRPr="003B4D81">
        <w:rPr>
          <w:rFonts w:ascii="Arial" w:hAnsi="Arial" w:cs="Arial"/>
        </w:rPr>
        <w:br/>
        <w:t>Cuando existe antecedente de sífilis y no se registra información sobre tratamiento de contactos.</w:t>
      </w:r>
    </w:p>
    <w:p w14:paraId="0BB75C7D" w14:textId="1651E799" w:rsidR="005D189A" w:rsidRDefault="008139B6" w:rsidP="008139B6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3B4D81">
        <w:rPr>
          <w:rFonts w:ascii="Arial" w:hAnsi="Arial" w:cs="Arial"/>
        </w:rPr>
        <w:t>NO APLICA</w:t>
      </w:r>
      <w:r w:rsidR="003B4D81" w:rsidRPr="003B4D81">
        <w:rPr>
          <w:rFonts w:ascii="Arial" w:hAnsi="Arial" w:cs="Arial"/>
        </w:rPr>
        <w:t>:</w:t>
      </w:r>
      <w:r w:rsidR="005D189A" w:rsidRPr="003B4D81">
        <w:rPr>
          <w:rFonts w:ascii="Arial" w:hAnsi="Arial" w:cs="Arial"/>
        </w:rPr>
        <w:br/>
        <w:t xml:space="preserve">Cuando la gestante no presenta </w:t>
      </w:r>
      <w:proofErr w:type="gramStart"/>
      <w:r w:rsidR="005D189A" w:rsidRPr="003B4D81">
        <w:rPr>
          <w:rFonts w:ascii="Arial" w:hAnsi="Arial" w:cs="Arial"/>
        </w:rPr>
        <w:t>antecedente previo</w:t>
      </w:r>
      <w:proofErr w:type="gramEnd"/>
      <w:r w:rsidR="005D189A" w:rsidRPr="003B4D81">
        <w:rPr>
          <w:rFonts w:ascii="Arial" w:hAnsi="Arial" w:cs="Arial"/>
        </w:rPr>
        <w:t xml:space="preserve"> de sífilis.</w:t>
      </w:r>
    </w:p>
    <w:p w14:paraId="182A4857" w14:textId="77777777" w:rsidR="003B4D81" w:rsidRPr="003B4D81" w:rsidRDefault="003B4D81" w:rsidP="008139B6">
      <w:pPr>
        <w:pStyle w:val="Textoindependiente"/>
        <w:spacing w:line="235" w:lineRule="auto"/>
        <w:ind w:left="0" w:right="103"/>
        <w:rPr>
          <w:rFonts w:ascii="Arial" w:hAnsi="Arial" w:cs="Arial"/>
        </w:rPr>
      </w:pPr>
    </w:p>
    <w:p w14:paraId="1463E53B" w14:textId="28A1AE96" w:rsidR="005D189A" w:rsidRPr="005D189A" w:rsidRDefault="005D189A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2. PARACLÍNICOS Y CLASIFICACIÓN</w:t>
      </w:r>
    </w:p>
    <w:p w14:paraId="4A955EA6" w14:textId="77777777" w:rsidR="003B4D81" w:rsidRDefault="003B4D81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575DB64A" w14:textId="6513C9C9" w:rsidR="005D189A" w:rsidRPr="005D189A" w:rsidRDefault="005D189A" w:rsidP="003B4D81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En el primer contacto con la gestante que no refiere antecedente de sífilis: se ordena, toma e interpreta la prueba treponémica rápida</w:t>
      </w:r>
    </w:p>
    <w:p w14:paraId="41271504" w14:textId="77777777" w:rsidR="005D189A" w:rsidRPr="003B4D81" w:rsidRDefault="005D189A" w:rsidP="003B4D8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3B4D81">
        <w:rPr>
          <w:rFonts w:ascii="Arial" w:hAnsi="Arial" w:cs="Arial"/>
        </w:rPr>
        <w:t>CUMPLE:</w:t>
      </w:r>
      <w:r w:rsidRPr="003B4D81">
        <w:rPr>
          <w:rFonts w:ascii="Arial" w:hAnsi="Arial" w:cs="Arial"/>
        </w:rPr>
        <w:br/>
        <w:t>Cuando en el primer contacto se evidencia orden, toma e interpretación registrada de prueba treponémica rápida.</w:t>
      </w:r>
    </w:p>
    <w:p w14:paraId="135E1605" w14:textId="77777777" w:rsidR="005D189A" w:rsidRPr="003B4D81" w:rsidRDefault="005D189A" w:rsidP="003B4D8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3B4D81">
        <w:rPr>
          <w:rFonts w:ascii="Arial" w:hAnsi="Arial" w:cs="Arial"/>
        </w:rPr>
        <w:t>NO CUMPLE:</w:t>
      </w:r>
      <w:r w:rsidRPr="003B4D81">
        <w:rPr>
          <w:rFonts w:ascii="Arial" w:hAnsi="Arial" w:cs="Arial"/>
        </w:rPr>
        <w:br/>
        <w:t>Cuando no se ordena, no se toma o no se registra la interpretación de la prueba treponémica rápida.</w:t>
      </w:r>
    </w:p>
    <w:p w14:paraId="1B7F6FF2" w14:textId="02658438" w:rsidR="005D189A" w:rsidRPr="003B4D81" w:rsidRDefault="00A73316" w:rsidP="003B4D8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 </w:t>
      </w:r>
      <w:r w:rsidRPr="0020376B">
        <w:rPr>
          <w:rFonts w:ascii="Arial" w:hAnsi="Arial" w:cs="Arial"/>
        </w:rPr>
        <w:t>A</w:t>
      </w:r>
      <w:r>
        <w:rPr>
          <w:rFonts w:ascii="Arial" w:hAnsi="Arial" w:cs="Arial"/>
        </w:rPr>
        <w:t>PLICA</w:t>
      </w:r>
      <w:r w:rsidRPr="0020376B">
        <w:rPr>
          <w:rFonts w:ascii="Arial" w:hAnsi="Arial" w:cs="Arial"/>
        </w:rPr>
        <w:t>:</w:t>
      </w:r>
      <w:r w:rsidR="005D189A" w:rsidRPr="003B4D81">
        <w:rPr>
          <w:rFonts w:ascii="Arial" w:hAnsi="Arial" w:cs="Arial"/>
        </w:rPr>
        <w:br/>
        <w:t xml:space="preserve">Cuando la gestante refiere </w:t>
      </w:r>
      <w:proofErr w:type="gramStart"/>
      <w:r w:rsidR="005D189A" w:rsidRPr="003B4D81">
        <w:rPr>
          <w:rFonts w:ascii="Arial" w:hAnsi="Arial" w:cs="Arial"/>
        </w:rPr>
        <w:t>antecedente previo</w:t>
      </w:r>
      <w:proofErr w:type="gramEnd"/>
      <w:r w:rsidR="005D189A" w:rsidRPr="003B4D81">
        <w:rPr>
          <w:rFonts w:ascii="Arial" w:hAnsi="Arial" w:cs="Arial"/>
        </w:rPr>
        <w:t xml:space="preserve"> de sífilis.</w:t>
      </w:r>
    </w:p>
    <w:p w14:paraId="35A0CC3B" w14:textId="77777777" w:rsidR="003B4D81" w:rsidRDefault="003B4D81" w:rsidP="003B4D81">
      <w:pPr>
        <w:pStyle w:val="Textoindependiente"/>
        <w:spacing w:line="235" w:lineRule="auto"/>
        <w:ind w:left="360" w:right="103"/>
        <w:rPr>
          <w:rFonts w:ascii="Arial" w:hAnsi="Arial" w:cs="Arial"/>
          <w:b/>
          <w:bCs/>
        </w:rPr>
      </w:pPr>
    </w:p>
    <w:p w14:paraId="02F65E40" w14:textId="5FE6D5B1" w:rsidR="005D189A" w:rsidRPr="005D189A" w:rsidRDefault="005D189A" w:rsidP="003B4D81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En el primer contacto con la gestante que refiere antecedente de sífilis: se ordena, toma e interpreta la prueba no treponémica (VDRL, RPR)</w:t>
      </w:r>
    </w:p>
    <w:p w14:paraId="408A6DBB" w14:textId="77777777" w:rsidR="005D189A" w:rsidRPr="007C7D53" w:rsidRDefault="005D189A" w:rsidP="007C7D53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7C7D53">
        <w:rPr>
          <w:rFonts w:ascii="Arial" w:hAnsi="Arial" w:cs="Arial"/>
        </w:rPr>
        <w:t>CUMPLE:</w:t>
      </w:r>
      <w:r w:rsidRPr="007C7D53">
        <w:rPr>
          <w:rFonts w:ascii="Arial" w:hAnsi="Arial" w:cs="Arial"/>
        </w:rPr>
        <w:br/>
        <w:t>Cuando se evidencia orden médica, toma e interpretación registrada de prueba no treponémica (VDRL o RPR).</w:t>
      </w:r>
    </w:p>
    <w:p w14:paraId="19A0666C" w14:textId="77777777" w:rsidR="005D189A" w:rsidRPr="007C7D53" w:rsidRDefault="005D189A" w:rsidP="007C7D53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7C7D53">
        <w:rPr>
          <w:rFonts w:ascii="Arial" w:hAnsi="Arial" w:cs="Arial"/>
        </w:rPr>
        <w:t>NO CUMPLE:</w:t>
      </w:r>
      <w:r w:rsidRPr="007C7D53">
        <w:rPr>
          <w:rFonts w:ascii="Arial" w:hAnsi="Arial" w:cs="Arial"/>
        </w:rPr>
        <w:br/>
        <w:t>Cuando no se evidencia la orden, toma o interpretación de la prueba no treponémica.</w:t>
      </w:r>
    </w:p>
    <w:p w14:paraId="3985EC4A" w14:textId="3CADC38E" w:rsidR="005D189A" w:rsidRPr="007C7D53" w:rsidRDefault="00A73316" w:rsidP="007C7D53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 </w:t>
      </w:r>
      <w:r w:rsidRPr="0020376B">
        <w:rPr>
          <w:rFonts w:ascii="Arial" w:hAnsi="Arial" w:cs="Arial"/>
        </w:rPr>
        <w:t>A</w:t>
      </w:r>
      <w:r>
        <w:rPr>
          <w:rFonts w:ascii="Arial" w:hAnsi="Arial" w:cs="Arial"/>
        </w:rPr>
        <w:t>PLICA</w:t>
      </w:r>
      <w:r w:rsidRPr="0020376B">
        <w:rPr>
          <w:rFonts w:ascii="Arial" w:hAnsi="Arial" w:cs="Arial"/>
        </w:rPr>
        <w:t>:</w:t>
      </w:r>
      <w:r w:rsidR="005D189A" w:rsidRPr="007C7D53">
        <w:rPr>
          <w:rFonts w:ascii="Arial" w:hAnsi="Arial" w:cs="Arial"/>
        </w:rPr>
        <w:br/>
      </w:r>
      <w:r w:rsidR="005D189A" w:rsidRPr="007C7D53">
        <w:rPr>
          <w:rFonts w:ascii="Arial" w:hAnsi="Arial" w:cs="Arial"/>
        </w:rPr>
        <w:lastRenderedPageBreak/>
        <w:t xml:space="preserve">Cuando la gestante no refiere </w:t>
      </w:r>
      <w:proofErr w:type="gramStart"/>
      <w:r w:rsidR="005D189A" w:rsidRPr="007C7D53">
        <w:rPr>
          <w:rFonts w:ascii="Arial" w:hAnsi="Arial" w:cs="Arial"/>
        </w:rPr>
        <w:t>antecedente previo</w:t>
      </w:r>
      <w:proofErr w:type="gramEnd"/>
      <w:r w:rsidR="005D189A" w:rsidRPr="007C7D53">
        <w:rPr>
          <w:rFonts w:ascii="Arial" w:hAnsi="Arial" w:cs="Arial"/>
        </w:rPr>
        <w:t xml:space="preserve"> de sífilis.</w:t>
      </w:r>
    </w:p>
    <w:p w14:paraId="61C6AF6B" w14:textId="3F62BA0B" w:rsidR="005D189A" w:rsidRPr="005D189A" w:rsidRDefault="005D189A" w:rsidP="007C7D53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A la gestante con prueba treponémica rápida positiva se ordena prueba no treponémica</w:t>
      </w:r>
    </w:p>
    <w:p w14:paraId="1E44823A" w14:textId="77777777" w:rsidR="005D189A" w:rsidRPr="00FF00F2" w:rsidRDefault="005D189A" w:rsidP="007C7D53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FF00F2">
        <w:rPr>
          <w:rFonts w:ascii="Arial" w:hAnsi="Arial" w:cs="Arial"/>
        </w:rPr>
        <w:t>CUMPLE:</w:t>
      </w:r>
      <w:r w:rsidRPr="00FF00F2">
        <w:rPr>
          <w:rFonts w:ascii="Arial" w:hAnsi="Arial" w:cs="Arial"/>
        </w:rPr>
        <w:br/>
        <w:t>Cuando ante resultado positivo de prueba treponémica rápida se evidencia orden, toma e interpretación de prueba no treponémica (VDRL/RPR).</w:t>
      </w:r>
    </w:p>
    <w:p w14:paraId="4544A331" w14:textId="77777777" w:rsidR="005D189A" w:rsidRPr="00FF00F2" w:rsidRDefault="005D189A" w:rsidP="007C7D53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FF00F2">
        <w:rPr>
          <w:rFonts w:ascii="Arial" w:hAnsi="Arial" w:cs="Arial"/>
        </w:rPr>
        <w:t>NO CUMPLE:</w:t>
      </w:r>
      <w:r w:rsidRPr="00FF00F2">
        <w:rPr>
          <w:rFonts w:ascii="Arial" w:hAnsi="Arial" w:cs="Arial"/>
        </w:rPr>
        <w:br/>
        <w:t>Cuando no se ordena o no se registra la realización o interpretación de prueba no treponémica posterior al resultado positivo.</w:t>
      </w:r>
    </w:p>
    <w:p w14:paraId="75356A83" w14:textId="2A970D4A" w:rsidR="005D189A" w:rsidRPr="00FF00F2" w:rsidRDefault="00A73316" w:rsidP="007C7D53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 </w:t>
      </w:r>
      <w:r w:rsidRPr="0020376B">
        <w:rPr>
          <w:rFonts w:ascii="Arial" w:hAnsi="Arial" w:cs="Arial"/>
        </w:rPr>
        <w:t>A</w:t>
      </w:r>
      <w:r>
        <w:rPr>
          <w:rFonts w:ascii="Arial" w:hAnsi="Arial" w:cs="Arial"/>
        </w:rPr>
        <w:t>PLICA</w:t>
      </w:r>
      <w:r w:rsidRPr="0020376B">
        <w:rPr>
          <w:rFonts w:ascii="Arial" w:hAnsi="Arial" w:cs="Arial"/>
        </w:rPr>
        <w:t>:</w:t>
      </w:r>
      <w:r w:rsidR="005D189A" w:rsidRPr="00FF00F2">
        <w:rPr>
          <w:rFonts w:ascii="Arial" w:hAnsi="Arial" w:cs="Arial"/>
        </w:rPr>
        <w:br/>
        <w:t>Cuando la prueba treponémica rápida fue negativa.</w:t>
      </w:r>
    </w:p>
    <w:p w14:paraId="155AFBB2" w14:textId="77777777" w:rsidR="007C7D53" w:rsidRPr="00FF00F2" w:rsidRDefault="007C7D53" w:rsidP="00D30D27">
      <w:pPr>
        <w:pStyle w:val="Textoindependiente"/>
        <w:spacing w:line="235" w:lineRule="auto"/>
        <w:ind w:left="0" w:right="103"/>
        <w:rPr>
          <w:rFonts w:ascii="Arial" w:hAnsi="Arial" w:cs="Arial"/>
        </w:rPr>
      </w:pPr>
    </w:p>
    <w:p w14:paraId="1D440A05" w14:textId="03635906" w:rsidR="005D189A" w:rsidRPr="005D189A" w:rsidRDefault="005D189A" w:rsidP="00B4582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Se registra en historia clínica la valoración física completa</w:t>
      </w:r>
    </w:p>
    <w:p w14:paraId="564120FB" w14:textId="77777777" w:rsidR="005D189A" w:rsidRPr="00B45824" w:rsidRDefault="005D189A" w:rsidP="00B4582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B45824">
        <w:rPr>
          <w:rFonts w:ascii="Arial" w:hAnsi="Arial" w:cs="Arial"/>
        </w:rPr>
        <w:t>CUMPLE:</w:t>
      </w:r>
      <w:r w:rsidRPr="00B45824">
        <w:rPr>
          <w:rFonts w:ascii="Arial" w:hAnsi="Arial" w:cs="Arial"/>
        </w:rPr>
        <w:br/>
        <w:t>Cuando se evidencia registro completo del examen físico general y específico, incluyendo evaluación por sistemas relevante para sífilis.</w:t>
      </w:r>
    </w:p>
    <w:p w14:paraId="1B9B1BBF" w14:textId="77777777" w:rsidR="005D189A" w:rsidRPr="00B45824" w:rsidRDefault="005D189A" w:rsidP="00B4582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B45824">
        <w:rPr>
          <w:rFonts w:ascii="Arial" w:hAnsi="Arial" w:cs="Arial"/>
        </w:rPr>
        <w:t>NO CUMPLE:</w:t>
      </w:r>
      <w:r w:rsidRPr="00B45824">
        <w:rPr>
          <w:rFonts w:ascii="Arial" w:hAnsi="Arial" w:cs="Arial"/>
        </w:rPr>
        <w:br/>
        <w:t>Cuando el examen físico es incompleto, inexistente o no se registra.</w:t>
      </w:r>
    </w:p>
    <w:p w14:paraId="28842AB5" w14:textId="42C924DB" w:rsidR="005D189A" w:rsidRPr="00B45824" w:rsidRDefault="00A73316" w:rsidP="00B4582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 </w:t>
      </w:r>
      <w:r w:rsidRPr="0020376B">
        <w:rPr>
          <w:rFonts w:ascii="Arial" w:hAnsi="Arial" w:cs="Arial"/>
        </w:rPr>
        <w:t>A</w:t>
      </w:r>
      <w:r>
        <w:rPr>
          <w:rFonts w:ascii="Arial" w:hAnsi="Arial" w:cs="Arial"/>
        </w:rPr>
        <w:t>PLICA</w:t>
      </w:r>
      <w:r w:rsidRPr="0020376B">
        <w:rPr>
          <w:rFonts w:ascii="Arial" w:hAnsi="Arial" w:cs="Arial"/>
        </w:rPr>
        <w:t>:</w:t>
      </w:r>
      <w:r w:rsidR="005D189A" w:rsidRPr="00B45824">
        <w:rPr>
          <w:rFonts w:ascii="Arial" w:hAnsi="Arial" w:cs="Arial"/>
        </w:rPr>
        <w:br/>
        <w:t>No aplica. Este criterio siempre debe evaluarse.</w:t>
      </w:r>
    </w:p>
    <w:p w14:paraId="3A20B158" w14:textId="77777777" w:rsidR="00B45824" w:rsidRDefault="00B4582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71671DB2" w14:textId="6EA7E59D" w:rsidR="005D189A" w:rsidRPr="005D189A" w:rsidRDefault="005D189A" w:rsidP="00B4582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Se registra en historia clínica la clasificación de la enfermedad según estadio</w:t>
      </w:r>
    </w:p>
    <w:p w14:paraId="1BEB1B7F" w14:textId="77777777" w:rsidR="005D189A" w:rsidRPr="00FF00F2" w:rsidRDefault="005D189A" w:rsidP="00B4582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FF00F2">
        <w:rPr>
          <w:rFonts w:ascii="Arial" w:hAnsi="Arial" w:cs="Arial"/>
        </w:rPr>
        <w:t>CUMPLE:</w:t>
      </w:r>
      <w:r w:rsidRPr="00FF00F2">
        <w:rPr>
          <w:rFonts w:ascii="Arial" w:hAnsi="Arial" w:cs="Arial"/>
        </w:rPr>
        <w:br/>
        <w:t>Cuando se registra explícitamente el estadio clínico de la sífilis (primaria, secundaria, latente temprana o tardía).</w:t>
      </w:r>
    </w:p>
    <w:p w14:paraId="258A84EB" w14:textId="77777777" w:rsidR="005D189A" w:rsidRPr="00FF00F2" w:rsidRDefault="005D189A" w:rsidP="00B4582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FF00F2">
        <w:rPr>
          <w:rFonts w:ascii="Arial" w:hAnsi="Arial" w:cs="Arial"/>
        </w:rPr>
        <w:t>NO CUMPLE:</w:t>
      </w:r>
      <w:r w:rsidRPr="00FF00F2">
        <w:rPr>
          <w:rFonts w:ascii="Arial" w:hAnsi="Arial" w:cs="Arial"/>
        </w:rPr>
        <w:br/>
        <w:t>Cuando no se registra la clasificación del estadio o esta es incorrecta.</w:t>
      </w:r>
    </w:p>
    <w:p w14:paraId="4E1A0489" w14:textId="0B1F96BF" w:rsidR="005D189A" w:rsidRPr="00FF00F2" w:rsidRDefault="00A73316" w:rsidP="00B4582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0376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 </w:t>
      </w:r>
      <w:r w:rsidRPr="0020376B">
        <w:rPr>
          <w:rFonts w:ascii="Arial" w:hAnsi="Arial" w:cs="Arial"/>
        </w:rPr>
        <w:t>A</w:t>
      </w:r>
      <w:r>
        <w:rPr>
          <w:rFonts w:ascii="Arial" w:hAnsi="Arial" w:cs="Arial"/>
        </w:rPr>
        <w:t>PLICA</w:t>
      </w:r>
      <w:r w:rsidRPr="0020376B">
        <w:rPr>
          <w:rFonts w:ascii="Arial" w:hAnsi="Arial" w:cs="Arial"/>
        </w:rPr>
        <w:t>:</w:t>
      </w:r>
      <w:r w:rsidR="005D189A" w:rsidRPr="00FF00F2">
        <w:rPr>
          <w:rFonts w:ascii="Arial" w:hAnsi="Arial" w:cs="Arial"/>
        </w:rPr>
        <w:br/>
        <w:t>Cuando no se ha confirmado diagnóstico de sífilis.</w:t>
      </w:r>
    </w:p>
    <w:p w14:paraId="6F2E9F9B" w14:textId="77777777" w:rsidR="00B45824" w:rsidRDefault="00B4582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572CDB74" w14:textId="00F098E9" w:rsidR="005D189A" w:rsidRDefault="005D189A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3. MANEJO Y SEGUIMIENTO</w:t>
      </w:r>
    </w:p>
    <w:p w14:paraId="146DDCD4" w14:textId="77777777" w:rsidR="0079572B" w:rsidRPr="005D189A" w:rsidRDefault="0079572B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6EEBC941" w14:textId="7BF5246E" w:rsidR="005D189A" w:rsidRPr="005D189A" w:rsidRDefault="005D189A" w:rsidP="00B4582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Indagación sobre alergia a la penicilina</w:t>
      </w:r>
    </w:p>
    <w:p w14:paraId="6694B3D4" w14:textId="77777777" w:rsidR="005D189A" w:rsidRPr="0029217E" w:rsidRDefault="005D189A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  <w:t>Cuando se registra en historia clínica la indagación sobre antecedente de alergia o anafilaxia a la penicilina.</w:t>
      </w:r>
    </w:p>
    <w:p w14:paraId="71C3B789" w14:textId="77777777" w:rsidR="005D189A" w:rsidRPr="0029217E" w:rsidRDefault="005D189A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no se evidencia registro de indagación sobre alergia.</w:t>
      </w:r>
    </w:p>
    <w:p w14:paraId="7C64F5B5" w14:textId="530CD6CC" w:rsidR="005D189A" w:rsidRPr="0029217E" w:rsidRDefault="00A73316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  <w:t>No aplica.</w:t>
      </w:r>
    </w:p>
    <w:p w14:paraId="7870B7A0" w14:textId="77777777" w:rsidR="003039F1" w:rsidRDefault="003039F1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4833132B" w14:textId="3FDF669F" w:rsidR="005D189A" w:rsidRPr="005D189A" w:rsidRDefault="005D189A" w:rsidP="003039F1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Desensibilización en caso de alergia a penicilina</w:t>
      </w:r>
    </w:p>
    <w:p w14:paraId="6A73408B" w14:textId="77777777" w:rsidR="005D189A" w:rsidRPr="0029217E" w:rsidRDefault="005D189A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  <w:t>Cuando se evidencia registro de procedimiento de desensibilización en gestante con antecedente de alergia.</w:t>
      </w:r>
    </w:p>
    <w:p w14:paraId="62801239" w14:textId="77777777" w:rsidR="005D189A" w:rsidRPr="0029217E" w:rsidRDefault="005D189A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la gestante refiere alergia y no se realiza desensibilización.</w:t>
      </w:r>
    </w:p>
    <w:p w14:paraId="66480CF7" w14:textId="01797065" w:rsidR="005D189A" w:rsidRPr="0029217E" w:rsidRDefault="00A73316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</w:r>
      <w:r w:rsidR="005D189A" w:rsidRPr="0029217E">
        <w:rPr>
          <w:rFonts w:ascii="Arial" w:hAnsi="Arial" w:cs="Arial"/>
        </w:rPr>
        <w:lastRenderedPageBreak/>
        <w:t>Cuando la gestante no presenta alergia a la penicilina.</w:t>
      </w:r>
    </w:p>
    <w:p w14:paraId="3C76E692" w14:textId="77777777" w:rsidR="003039F1" w:rsidRDefault="003039F1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75264E06" w14:textId="0CD2A94C" w:rsidR="005D189A" w:rsidRPr="005D189A" w:rsidRDefault="005D189A" w:rsidP="003039F1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Inicio inmediato de tratamiento con penicilina benzatínica</w:t>
      </w:r>
    </w:p>
    <w:p w14:paraId="598C2467" w14:textId="77777777" w:rsidR="005D189A" w:rsidRPr="0029217E" w:rsidRDefault="005D189A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  <w:t>Cuando se evidencia inicio inmediato del tratamiento con penicilina benzatínica posterior a resultado positivo.</w:t>
      </w:r>
    </w:p>
    <w:p w14:paraId="705D76BB" w14:textId="77777777" w:rsidR="005D189A" w:rsidRPr="0029217E" w:rsidRDefault="005D189A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el tratamiento no se inicia oportunamente.</w:t>
      </w:r>
    </w:p>
    <w:p w14:paraId="4CA0D2AD" w14:textId="6CCAEAD1" w:rsidR="005D189A" w:rsidRPr="0029217E" w:rsidRDefault="00A73316" w:rsidP="003039F1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  <w:t>Cuando la prueba es negativa.</w:t>
      </w:r>
    </w:p>
    <w:p w14:paraId="2082FE3E" w14:textId="77777777" w:rsidR="003039F1" w:rsidRDefault="003039F1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50BF22AB" w14:textId="6A608234" w:rsidR="005D189A" w:rsidRPr="005D189A" w:rsidRDefault="005D189A" w:rsidP="003039F1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Registro de dosis y fechas</w:t>
      </w:r>
    </w:p>
    <w:p w14:paraId="4FA1E292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  <w:t>Cuando se registran dosis, número de aplicaciones y fechas correspondientes al estadio clínico.</w:t>
      </w:r>
    </w:p>
    <w:p w14:paraId="107DDCD3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los registros son incompletos o no corresponden al esquema indicado.</w:t>
      </w:r>
    </w:p>
    <w:p w14:paraId="478D3FB4" w14:textId="05DEB007" w:rsidR="005D189A" w:rsidRPr="0029217E" w:rsidRDefault="00A73316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  <w:t>Cuando no hay indicación de tratamiento.</w:t>
      </w:r>
    </w:p>
    <w:p w14:paraId="2D5452F8" w14:textId="77777777" w:rsidR="00C37964" w:rsidRDefault="00C3796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10D1A6F3" w14:textId="4D7F3571" w:rsidR="005D189A" w:rsidRPr="005D189A" w:rsidRDefault="005D189A" w:rsidP="00C3796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Seguimiento serológico trimestral</w:t>
      </w:r>
    </w:p>
    <w:p w14:paraId="55FE617D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  <w:t>Cuando se evidencia orden y registro de pruebas no treponémicas en cada trimestre.</w:t>
      </w:r>
    </w:p>
    <w:p w14:paraId="1AEECE81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no se evidencia seguimiento periódico.</w:t>
      </w:r>
    </w:p>
    <w:p w14:paraId="5674F963" w14:textId="65EEB581" w:rsidR="005D189A" w:rsidRPr="0029217E" w:rsidRDefault="00A73316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  <w:t>Cuando no hay diagnóstico confirmado.</w:t>
      </w:r>
    </w:p>
    <w:p w14:paraId="2BE68062" w14:textId="77777777" w:rsidR="00C37964" w:rsidRDefault="00C3796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60903297" w14:textId="15CBAF16" w:rsidR="005D189A" w:rsidRPr="005D189A" w:rsidRDefault="005D189A" w:rsidP="00C3796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Tratamiento a contactos</w:t>
      </w:r>
    </w:p>
    <w:p w14:paraId="16F1ACB7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  <w:t>Cuando se evidencia orden o administración de tratamiento a contactos sexuales.</w:t>
      </w:r>
    </w:p>
    <w:p w14:paraId="507BA47F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no se evidencia tratamiento a contactos.</w:t>
      </w:r>
    </w:p>
    <w:p w14:paraId="326288EF" w14:textId="4C4A1FDF" w:rsidR="005D189A" w:rsidRPr="0029217E" w:rsidRDefault="00A73316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  <w:t>Cuando no hay contactos identificados.</w:t>
      </w:r>
    </w:p>
    <w:p w14:paraId="74BF35C6" w14:textId="77777777" w:rsidR="00C37964" w:rsidRDefault="00C3796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092C08C7" w14:textId="7C68BF37" w:rsidR="005D189A" w:rsidRPr="005D189A" w:rsidRDefault="005D189A" w:rsidP="00C3796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Tratamiento en caso de reinfección</w:t>
      </w:r>
    </w:p>
    <w:p w14:paraId="7959667F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  <w:t>Cuando se evidencia tratamiento adecuado ante reinfección confirmada.</w:t>
      </w:r>
    </w:p>
    <w:p w14:paraId="75BE1CC8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no se realiza manejo correspondiente.</w:t>
      </w:r>
    </w:p>
    <w:p w14:paraId="19630E3C" w14:textId="46994F63" w:rsidR="005D189A" w:rsidRPr="0029217E" w:rsidRDefault="00A73316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  <w:t>Cuando no hay reinfección.</w:t>
      </w:r>
    </w:p>
    <w:p w14:paraId="410983CB" w14:textId="77777777" w:rsidR="00C37964" w:rsidRDefault="00C3796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0825C4BB" w14:textId="215A50F0" w:rsidR="005D189A" w:rsidRPr="005D189A" w:rsidRDefault="005D189A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4. EDUCACIÓN Y PROVISIÓN DE MÉTODO DE BARRERA</w:t>
      </w:r>
    </w:p>
    <w:p w14:paraId="7A30F692" w14:textId="77777777" w:rsidR="00C37964" w:rsidRDefault="00C3796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2BF8DE80" w14:textId="4A5CD470" w:rsidR="005D189A" w:rsidRPr="005D189A" w:rsidRDefault="005D189A" w:rsidP="00C3796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Educación y recomendaciones</w:t>
      </w:r>
    </w:p>
    <w:p w14:paraId="057CA08E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CUMPLE:</w:t>
      </w:r>
      <w:r w:rsidRPr="0029217E">
        <w:rPr>
          <w:rFonts w:ascii="Arial" w:hAnsi="Arial" w:cs="Arial"/>
        </w:rPr>
        <w:br/>
      </w:r>
      <w:r w:rsidRPr="0029217E">
        <w:rPr>
          <w:rFonts w:ascii="Arial" w:hAnsi="Arial" w:cs="Arial"/>
        </w:rPr>
        <w:lastRenderedPageBreak/>
        <w:t>Cuando se evidencia registro de educación brindada sobre adherencia al tratamiento, signos de alarma, uso de preservativo y seguimiento.</w:t>
      </w:r>
    </w:p>
    <w:p w14:paraId="19282913" w14:textId="77777777" w:rsidR="005D189A" w:rsidRPr="0029217E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CUMPLE:</w:t>
      </w:r>
      <w:r w:rsidRPr="0029217E">
        <w:rPr>
          <w:rFonts w:ascii="Arial" w:hAnsi="Arial" w:cs="Arial"/>
        </w:rPr>
        <w:br/>
        <w:t>Cuando no se evidencia registro de educación.</w:t>
      </w:r>
    </w:p>
    <w:p w14:paraId="34BC8E4D" w14:textId="59F1E93D" w:rsidR="005D189A" w:rsidRPr="0029217E" w:rsidRDefault="00A73316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29217E">
        <w:rPr>
          <w:rFonts w:ascii="Arial" w:hAnsi="Arial" w:cs="Arial"/>
        </w:rPr>
        <w:t>NO APLICA:</w:t>
      </w:r>
      <w:r w:rsidR="005D189A" w:rsidRPr="0029217E">
        <w:rPr>
          <w:rFonts w:ascii="Arial" w:hAnsi="Arial" w:cs="Arial"/>
        </w:rPr>
        <w:br/>
        <w:t>No aplica.</w:t>
      </w:r>
    </w:p>
    <w:p w14:paraId="65D3A1D3" w14:textId="77777777" w:rsidR="00C37964" w:rsidRDefault="00C37964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40ABF5FE" w14:textId="7F1A5B02" w:rsidR="005D189A" w:rsidRPr="005D189A" w:rsidRDefault="005D189A" w:rsidP="00C37964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Asignación de cita de control serológico</w:t>
      </w:r>
    </w:p>
    <w:p w14:paraId="2008D8D5" w14:textId="77777777" w:rsidR="005D189A" w:rsidRPr="0018751F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18751F">
        <w:rPr>
          <w:rFonts w:ascii="Arial" w:hAnsi="Arial" w:cs="Arial"/>
        </w:rPr>
        <w:t>CUMPLE:</w:t>
      </w:r>
      <w:r w:rsidRPr="0018751F">
        <w:rPr>
          <w:rFonts w:ascii="Arial" w:hAnsi="Arial" w:cs="Arial"/>
        </w:rPr>
        <w:br/>
        <w:t>Cuando se registra la asignación de cita para seguimiento serológico.</w:t>
      </w:r>
    </w:p>
    <w:p w14:paraId="0E7328C4" w14:textId="77777777" w:rsidR="005D189A" w:rsidRPr="0018751F" w:rsidRDefault="005D189A" w:rsidP="00C37964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18751F">
        <w:rPr>
          <w:rFonts w:ascii="Arial" w:hAnsi="Arial" w:cs="Arial"/>
        </w:rPr>
        <w:t>NO CUMPLE:</w:t>
      </w:r>
      <w:r w:rsidRPr="0018751F">
        <w:rPr>
          <w:rFonts w:ascii="Arial" w:hAnsi="Arial" w:cs="Arial"/>
        </w:rPr>
        <w:br/>
        <w:t>Cuando no se registra la asignación de cita.</w:t>
      </w:r>
    </w:p>
    <w:p w14:paraId="72EFA252" w14:textId="6FDA8B5F" w:rsidR="005D189A" w:rsidRPr="0018751F" w:rsidRDefault="00A73316" w:rsidP="0018751F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18751F">
        <w:rPr>
          <w:rFonts w:ascii="Arial" w:hAnsi="Arial" w:cs="Arial"/>
        </w:rPr>
        <w:t>NO APLICA:</w:t>
      </w:r>
      <w:r w:rsidR="005D189A" w:rsidRPr="0018751F">
        <w:rPr>
          <w:rFonts w:ascii="Arial" w:hAnsi="Arial" w:cs="Arial"/>
        </w:rPr>
        <w:br/>
        <w:t>No aplica.</w:t>
      </w:r>
      <w:r w:rsidR="00EC1000">
        <w:rPr>
          <w:rFonts w:ascii="Arial" w:hAnsi="Arial" w:cs="Arial"/>
        </w:rPr>
        <w:t xml:space="preserve"> Siempre debe existir cita de control</w:t>
      </w:r>
    </w:p>
    <w:p w14:paraId="63286A25" w14:textId="77777777" w:rsidR="0018751F" w:rsidRDefault="0018751F" w:rsidP="00D30D27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6E3309B0" w14:textId="0B1DA892" w:rsidR="005D189A" w:rsidRPr="005D189A" w:rsidRDefault="005D189A" w:rsidP="0018751F">
      <w:pPr>
        <w:pStyle w:val="Textoindependiente"/>
        <w:numPr>
          <w:ilvl w:val="0"/>
          <w:numId w:val="34"/>
        </w:numPr>
        <w:spacing w:line="235" w:lineRule="auto"/>
        <w:ind w:right="103"/>
        <w:rPr>
          <w:rFonts w:ascii="Arial" w:hAnsi="Arial" w:cs="Arial"/>
          <w:b/>
          <w:bCs/>
        </w:rPr>
      </w:pPr>
      <w:r w:rsidRPr="005D189A">
        <w:rPr>
          <w:rFonts w:ascii="Arial" w:hAnsi="Arial" w:cs="Arial"/>
          <w:b/>
          <w:bCs/>
        </w:rPr>
        <w:t>Provisión efectiva de preservativos</w:t>
      </w:r>
    </w:p>
    <w:p w14:paraId="3707A657" w14:textId="77777777" w:rsidR="005D189A" w:rsidRPr="0018751F" w:rsidRDefault="005D189A" w:rsidP="0018751F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18751F">
        <w:rPr>
          <w:rFonts w:ascii="Arial" w:hAnsi="Arial" w:cs="Arial"/>
        </w:rPr>
        <w:t>CUMPLE:</w:t>
      </w:r>
      <w:r w:rsidRPr="0018751F">
        <w:rPr>
          <w:rFonts w:ascii="Arial" w:hAnsi="Arial" w:cs="Arial"/>
        </w:rPr>
        <w:br/>
        <w:t>Cuando se registra entrega efectiva de preservativos a la gestante.</w:t>
      </w:r>
    </w:p>
    <w:p w14:paraId="3B8525C2" w14:textId="77777777" w:rsidR="005D189A" w:rsidRPr="0018751F" w:rsidRDefault="005D189A" w:rsidP="0018751F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18751F">
        <w:rPr>
          <w:rFonts w:ascii="Arial" w:hAnsi="Arial" w:cs="Arial"/>
        </w:rPr>
        <w:t>NO CUMPLE:</w:t>
      </w:r>
      <w:r w:rsidRPr="0018751F">
        <w:rPr>
          <w:rFonts w:ascii="Arial" w:hAnsi="Arial" w:cs="Arial"/>
        </w:rPr>
        <w:br/>
        <w:t>Cuando no se evidencia entrega.</w:t>
      </w:r>
    </w:p>
    <w:p w14:paraId="7E064842" w14:textId="5A8B47B1" w:rsidR="005D189A" w:rsidRPr="0018751F" w:rsidRDefault="00A73316" w:rsidP="0018751F">
      <w:pPr>
        <w:pStyle w:val="Textoindependiente"/>
        <w:spacing w:line="235" w:lineRule="auto"/>
        <w:ind w:left="0" w:right="103"/>
        <w:rPr>
          <w:rFonts w:ascii="Arial" w:hAnsi="Arial" w:cs="Arial"/>
        </w:rPr>
      </w:pPr>
      <w:r w:rsidRPr="0018751F">
        <w:rPr>
          <w:rFonts w:ascii="Arial" w:hAnsi="Arial" w:cs="Arial"/>
        </w:rPr>
        <w:t>NO APLICA:</w:t>
      </w:r>
      <w:r w:rsidR="005D189A" w:rsidRPr="0018751F">
        <w:rPr>
          <w:rFonts w:ascii="Arial" w:hAnsi="Arial" w:cs="Arial"/>
        </w:rPr>
        <w:br/>
        <w:t>Cuando existe contraindicación documentada o rechazo informado.</w:t>
      </w:r>
    </w:p>
    <w:p w14:paraId="11838A73" w14:textId="77777777" w:rsidR="009217AE" w:rsidRPr="00267071" w:rsidRDefault="009217AE" w:rsidP="00D30D27">
      <w:pPr>
        <w:pStyle w:val="Textoindependiente"/>
        <w:spacing w:line="235" w:lineRule="auto"/>
        <w:ind w:left="-820" w:right="103"/>
        <w:rPr>
          <w:rFonts w:ascii="Arial" w:hAnsi="Arial" w:cs="Arial"/>
          <w:b/>
          <w:bCs/>
        </w:rPr>
      </w:pPr>
    </w:p>
    <w:sectPr w:rsidR="009217AE" w:rsidRPr="002670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362B" w14:textId="77777777" w:rsidR="000B3526" w:rsidRDefault="000B3526" w:rsidP="00E73BA8">
      <w:pPr>
        <w:spacing w:after="0" w:line="240" w:lineRule="auto"/>
      </w:pPr>
      <w:r>
        <w:separator/>
      </w:r>
    </w:p>
  </w:endnote>
  <w:endnote w:type="continuationSeparator" w:id="0">
    <w:p w14:paraId="2A552FE3" w14:textId="77777777" w:rsidR="000B3526" w:rsidRDefault="000B3526" w:rsidP="00E7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1741E" w14:textId="77777777" w:rsidR="000B3526" w:rsidRDefault="000B3526" w:rsidP="00E73BA8">
      <w:pPr>
        <w:spacing w:after="0" w:line="240" w:lineRule="auto"/>
      </w:pPr>
      <w:r>
        <w:separator/>
      </w:r>
    </w:p>
  </w:footnote>
  <w:footnote w:type="continuationSeparator" w:id="0">
    <w:p w14:paraId="3A6C9A17" w14:textId="77777777" w:rsidR="000B3526" w:rsidRDefault="000B3526" w:rsidP="00E73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318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986"/>
      <w:gridCol w:w="3101"/>
      <w:gridCol w:w="2431"/>
      <w:gridCol w:w="1275"/>
      <w:gridCol w:w="525"/>
    </w:tblGrid>
    <w:tr w:rsidR="00E73BA8" w14:paraId="63584C43" w14:textId="77777777" w:rsidTr="00E73BA8">
      <w:trPr>
        <w:trHeight w:val="1161"/>
      </w:trPr>
      <w:tc>
        <w:tcPr>
          <w:tcW w:w="1986" w:type="dxa"/>
          <w:vMerge w:val="restart"/>
        </w:tcPr>
        <w:p w14:paraId="007DE17C" w14:textId="77777777" w:rsidR="00E73BA8" w:rsidRDefault="00E73BA8" w:rsidP="005325DC">
          <w:pPr>
            <w:pStyle w:val="TableParagraph"/>
            <w:rPr>
              <w:noProof/>
            </w:rPr>
          </w:pPr>
        </w:p>
        <w:p w14:paraId="7129B337" w14:textId="113D8757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C468DFA" wp14:editId="72ED4B19">
                <wp:extent cx="1003300" cy="817242"/>
                <wp:effectExtent l="0" t="0" r="6350" b="2540"/>
                <wp:docPr id="6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6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1">
                          <a:extLst>
                            <a:ext uri="{FF2B5EF4-FFF2-40B4-BE49-F238E27FC236}">
                              <a16:creationId xmlns:a16="http://schemas.microsoft.com/office/drawing/2014/main" id="{00000000-0008-0000-0100-000006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7654" cy="8207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2" w:type="dxa"/>
          <w:gridSpan w:val="2"/>
        </w:tcPr>
        <w:p w14:paraId="1BA69631" w14:textId="77777777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</w:p>
        <w:p w14:paraId="57A557BD" w14:textId="058D5FF3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  <w:r>
            <w:rPr>
              <w:sz w:val="18"/>
            </w:rPr>
            <w:t>PROVISIÓN DE SERVICIOS DE SALUD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DIRECCIÓN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PROVISIÓN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2"/>
              <w:sz w:val="18"/>
            </w:rPr>
            <w:t xml:space="preserve"> </w:t>
          </w:r>
          <w:r>
            <w:rPr>
              <w:sz w:val="18"/>
            </w:rPr>
            <w:t>SERVICIOS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SALUD SISTEMA DE GESTIÓN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CONTROL</w:t>
          </w:r>
          <w:r>
            <w:rPr>
              <w:spacing w:val="-13"/>
              <w:sz w:val="18"/>
            </w:rPr>
            <w:t xml:space="preserve"> </w:t>
          </w:r>
          <w:r>
            <w:rPr>
              <w:sz w:val="18"/>
            </w:rPr>
            <w:t>DOCUMENTAL</w:t>
          </w:r>
        </w:p>
      </w:tc>
      <w:tc>
        <w:tcPr>
          <w:tcW w:w="1800" w:type="dxa"/>
          <w:gridSpan w:val="2"/>
          <w:vMerge w:val="restart"/>
        </w:tcPr>
        <w:p w14:paraId="6F774B7B" w14:textId="77777777" w:rsidR="00E73BA8" w:rsidRDefault="00E73BA8" w:rsidP="00E73BA8">
          <w:pPr>
            <w:pStyle w:val="TableParagraph"/>
            <w:jc w:val="center"/>
            <w:rPr>
              <w:noProof/>
            </w:rPr>
          </w:pPr>
        </w:p>
        <w:p w14:paraId="1026006A" w14:textId="1CEA9C34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107B12B" wp14:editId="0E796BAE">
                <wp:extent cx="886209" cy="749300"/>
                <wp:effectExtent l="0" t="0" r="9525" b="0"/>
                <wp:docPr id="5" name="Imagen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10">
                          <a:extLst>
                            <a:ext uri="{FF2B5EF4-FFF2-40B4-BE49-F238E27FC236}">
                              <a16:creationId xmlns:a16="http://schemas.microsoft.com/office/drawing/2014/main" id="{00000000-0008-0000-01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11" cy="7526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D23D967" w14:textId="3D2CF6E0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</w:p>
      </w:tc>
    </w:tr>
    <w:tr w:rsidR="00E73BA8" w14:paraId="0AE9C02F" w14:textId="77777777" w:rsidTr="00E73BA8">
      <w:tblPrEx>
        <w:tblCellMar>
          <w:left w:w="0" w:type="dxa"/>
          <w:right w:w="0" w:type="dxa"/>
        </w:tblCellMar>
      </w:tblPrEx>
      <w:trPr>
        <w:trHeight w:val="711"/>
      </w:trPr>
      <w:tc>
        <w:tcPr>
          <w:tcW w:w="1986" w:type="dxa"/>
          <w:vMerge/>
          <w:tcBorders>
            <w:top w:val="nil"/>
          </w:tcBorders>
        </w:tcPr>
        <w:p w14:paraId="4D728C51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5532" w:type="dxa"/>
          <w:gridSpan w:val="2"/>
        </w:tcPr>
        <w:p w14:paraId="7E3E2946" w14:textId="132F9813" w:rsidR="00E73BA8" w:rsidRDefault="002810C0" w:rsidP="00336375">
          <w:pPr>
            <w:pStyle w:val="TableParagraph"/>
            <w:spacing w:line="268" w:lineRule="auto"/>
            <w:ind w:left="120" w:right="108" w:hanging="2"/>
            <w:jc w:val="center"/>
            <w:rPr>
              <w:sz w:val="18"/>
            </w:rPr>
          </w:pPr>
          <w:r w:rsidRPr="002810C0">
            <w:rPr>
              <w:sz w:val="18"/>
            </w:rPr>
            <w:t>INSTRUMENTO DE ADHERENCIA A LA GUÍA DE ATENCIÓN EN SÍFILIS GESTACIONAL</w:t>
          </w:r>
        </w:p>
      </w:tc>
      <w:tc>
        <w:tcPr>
          <w:tcW w:w="1800" w:type="dxa"/>
          <w:gridSpan w:val="2"/>
          <w:vMerge/>
          <w:tcBorders>
            <w:top w:val="nil"/>
          </w:tcBorders>
        </w:tcPr>
        <w:p w14:paraId="31C26D59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</w:tr>
    <w:tr w:rsidR="00E73BA8" w14:paraId="123D5B03" w14:textId="77777777" w:rsidTr="00E73BA8">
      <w:tblPrEx>
        <w:tblCellMar>
          <w:left w:w="0" w:type="dxa"/>
          <w:right w:w="0" w:type="dxa"/>
        </w:tblCellMar>
      </w:tblPrEx>
      <w:trPr>
        <w:trHeight w:val="300"/>
      </w:trPr>
      <w:tc>
        <w:tcPr>
          <w:tcW w:w="1986" w:type="dxa"/>
          <w:vMerge/>
          <w:tcBorders>
            <w:top w:val="nil"/>
          </w:tcBorders>
        </w:tcPr>
        <w:p w14:paraId="447E7E2D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3101" w:type="dxa"/>
        </w:tcPr>
        <w:p w14:paraId="43BB598B" w14:textId="77777777" w:rsidR="00E73BA8" w:rsidRDefault="00E73BA8" w:rsidP="00E73BA8">
          <w:pPr>
            <w:pStyle w:val="TableParagraph"/>
            <w:spacing w:line="203" w:lineRule="exact"/>
            <w:ind w:left="1220" w:right="1210"/>
            <w:jc w:val="center"/>
            <w:rPr>
              <w:sz w:val="18"/>
            </w:rPr>
          </w:pPr>
          <w:r>
            <w:rPr>
              <w:sz w:val="18"/>
            </w:rPr>
            <w:t>Código:</w:t>
          </w:r>
        </w:p>
      </w:tc>
      <w:tc>
        <w:tcPr>
          <w:tcW w:w="2431" w:type="dxa"/>
        </w:tcPr>
        <w:p w14:paraId="0566F122" w14:textId="4C7EA89B" w:rsidR="00E73BA8" w:rsidRDefault="004F7192" w:rsidP="00E73BA8">
          <w:pPr>
            <w:pStyle w:val="TableParagraph"/>
            <w:spacing w:line="203" w:lineRule="exact"/>
            <w:ind w:left="500"/>
            <w:rPr>
              <w:sz w:val="18"/>
            </w:rPr>
          </w:pPr>
          <w:r w:rsidRPr="004F7192">
            <w:rPr>
              <w:sz w:val="18"/>
            </w:rPr>
            <w:t>SDS-PSS-FT-578</w:t>
          </w:r>
        </w:p>
      </w:tc>
      <w:tc>
        <w:tcPr>
          <w:tcW w:w="1275" w:type="dxa"/>
        </w:tcPr>
        <w:p w14:paraId="593D4B57" w14:textId="77777777" w:rsidR="00E73BA8" w:rsidRDefault="00E73BA8" w:rsidP="00E73BA8">
          <w:pPr>
            <w:pStyle w:val="TableParagraph"/>
            <w:spacing w:line="203" w:lineRule="exact"/>
            <w:ind w:left="309"/>
            <w:rPr>
              <w:sz w:val="18"/>
            </w:rPr>
          </w:pPr>
          <w:r>
            <w:rPr>
              <w:sz w:val="18"/>
            </w:rPr>
            <w:t>Versión:</w:t>
          </w:r>
        </w:p>
      </w:tc>
      <w:tc>
        <w:tcPr>
          <w:tcW w:w="525" w:type="dxa"/>
        </w:tcPr>
        <w:p w14:paraId="1F8025F8" w14:textId="00FC5637" w:rsidR="00E73BA8" w:rsidRDefault="005325DC" w:rsidP="00E73BA8">
          <w:pPr>
            <w:pStyle w:val="TableParagraph"/>
            <w:spacing w:line="203" w:lineRule="exact"/>
            <w:ind w:left="16"/>
            <w:jc w:val="center"/>
            <w:rPr>
              <w:sz w:val="18"/>
            </w:rPr>
          </w:pPr>
          <w:r>
            <w:rPr>
              <w:w w:val="99"/>
              <w:sz w:val="18"/>
            </w:rPr>
            <w:t>2</w:t>
          </w:r>
        </w:p>
      </w:tc>
    </w:tr>
    <w:tr w:rsidR="00E73BA8" w14:paraId="5493D61C" w14:textId="77777777" w:rsidTr="00E73BA8">
      <w:tblPrEx>
        <w:tblCellMar>
          <w:left w:w="0" w:type="dxa"/>
          <w:right w:w="0" w:type="dxa"/>
        </w:tblCellMar>
      </w:tblPrEx>
      <w:trPr>
        <w:trHeight w:val="415"/>
      </w:trPr>
      <w:tc>
        <w:tcPr>
          <w:tcW w:w="9318" w:type="dxa"/>
          <w:gridSpan w:val="5"/>
        </w:tcPr>
        <w:p w14:paraId="658FB15B" w14:textId="095206FA" w:rsidR="00E73BA8" w:rsidRDefault="004F7192" w:rsidP="00DD141B">
          <w:pPr>
            <w:pStyle w:val="TableParagraph"/>
            <w:spacing w:before="21"/>
            <w:ind w:left="110"/>
            <w:rPr>
              <w:sz w:val="16"/>
            </w:rPr>
          </w:pPr>
          <w:r w:rsidRPr="004F7192">
            <w:rPr>
              <w:sz w:val="16"/>
            </w:rPr>
            <w:t>Elaborado por: Dayan Mateus Mendoza /Revisado por: Andrea Villamizar Monroy, Sandra Charry, Tamara Vanin Nieto  / Aprobado por: Fernando Aníbal Peña</w:t>
          </w:r>
        </w:p>
      </w:tc>
    </w:tr>
  </w:tbl>
  <w:p w14:paraId="14B2723B" w14:textId="77777777" w:rsidR="00E73BA8" w:rsidRDefault="00E73B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823C7"/>
    <w:multiLevelType w:val="multilevel"/>
    <w:tmpl w:val="7DC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A4B9A"/>
    <w:multiLevelType w:val="hybridMultilevel"/>
    <w:tmpl w:val="92125B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585C"/>
    <w:multiLevelType w:val="multilevel"/>
    <w:tmpl w:val="1F3E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63759"/>
    <w:multiLevelType w:val="multilevel"/>
    <w:tmpl w:val="281A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2459CB"/>
    <w:multiLevelType w:val="hybridMultilevel"/>
    <w:tmpl w:val="60E802D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E2B2C"/>
    <w:multiLevelType w:val="multilevel"/>
    <w:tmpl w:val="00E0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05157"/>
    <w:multiLevelType w:val="multilevel"/>
    <w:tmpl w:val="88DA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D2279D"/>
    <w:multiLevelType w:val="hybridMultilevel"/>
    <w:tmpl w:val="20EA07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518D2"/>
    <w:multiLevelType w:val="hybridMultilevel"/>
    <w:tmpl w:val="B0E829B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675A64"/>
    <w:multiLevelType w:val="multilevel"/>
    <w:tmpl w:val="EF8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134253"/>
    <w:multiLevelType w:val="multilevel"/>
    <w:tmpl w:val="4866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83620A"/>
    <w:multiLevelType w:val="multilevel"/>
    <w:tmpl w:val="A7BC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971514"/>
    <w:multiLevelType w:val="multilevel"/>
    <w:tmpl w:val="A12C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C516B4"/>
    <w:multiLevelType w:val="hybridMultilevel"/>
    <w:tmpl w:val="72685B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78652F"/>
    <w:multiLevelType w:val="hybridMultilevel"/>
    <w:tmpl w:val="24425E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44D7A"/>
    <w:multiLevelType w:val="hybridMultilevel"/>
    <w:tmpl w:val="7FE878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F2315"/>
    <w:multiLevelType w:val="multilevel"/>
    <w:tmpl w:val="099A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D3374B"/>
    <w:multiLevelType w:val="multilevel"/>
    <w:tmpl w:val="CC30F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3E2A14"/>
    <w:multiLevelType w:val="multilevel"/>
    <w:tmpl w:val="1504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8F6CB0"/>
    <w:multiLevelType w:val="multilevel"/>
    <w:tmpl w:val="D8B8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60E79"/>
    <w:multiLevelType w:val="multilevel"/>
    <w:tmpl w:val="B086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D82646"/>
    <w:multiLevelType w:val="hybridMultilevel"/>
    <w:tmpl w:val="FF9820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6114F"/>
    <w:multiLevelType w:val="multilevel"/>
    <w:tmpl w:val="6F58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A13AFD"/>
    <w:multiLevelType w:val="multilevel"/>
    <w:tmpl w:val="88B06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670D43"/>
    <w:multiLevelType w:val="multilevel"/>
    <w:tmpl w:val="0B727C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56691F"/>
    <w:multiLevelType w:val="multilevel"/>
    <w:tmpl w:val="112A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7556A0"/>
    <w:multiLevelType w:val="multilevel"/>
    <w:tmpl w:val="0BD68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636B2E"/>
    <w:multiLevelType w:val="multilevel"/>
    <w:tmpl w:val="41AE0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D80753"/>
    <w:multiLevelType w:val="multilevel"/>
    <w:tmpl w:val="5E86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F41727"/>
    <w:multiLevelType w:val="multilevel"/>
    <w:tmpl w:val="AB86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423918"/>
    <w:multiLevelType w:val="multilevel"/>
    <w:tmpl w:val="1540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167FF"/>
    <w:multiLevelType w:val="multilevel"/>
    <w:tmpl w:val="CAE65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5F0334"/>
    <w:multiLevelType w:val="multilevel"/>
    <w:tmpl w:val="3CB43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64205D"/>
    <w:multiLevelType w:val="hybridMultilevel"/>
    <w:tmpl w:val="6A7A6C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C0C0A"/>
    <w:multiLevelType w:val="multilevel"/>
    <w:tmpl w:val="F9B40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3503847">
    <w:abstractNumId w:val="7"/>
  </w:num>
  <w:num w:numId="2" w16cid:durableId="352922014">
    <w:abstractNumId w:val="15"/>
  </w:num>
  <w:num w:numId="3" w16cid:durableId="1725567215">
    <w:abstractNumId w:val="26"/>
  </w:num>
  <w:num w:numId="4" w16cid:durableId="732896438">
    <w:abstractNumId w:val="18"/>
  </w:num>
  <w:num w:numId="5" w16cid:durableId="709383821">
    <w:abstractNumId w:val="24"/>
  </w:num>
  <w:num w:numId="6" w16cid:durableId="2085296004">
    <w:abstractNumId w:val="1"/>
  </w:num>
  <w:num w:numId="7" w16cid:durableId="17968347">
    <w:abstractNumId w:val="34"/>
  </w:num>
  <w:num w:numId="8" w16cid:durableId="306861769">
    <w:abstractNumId w:val="31"/>
  </w:num>
  <w:num w:numId="9" w16cid:durableId="1116413184">
    <w:abstractNumId w:val="14"/>
  </w:num>
  <w:num w:numId="10" w16cid:durableId="1516531989">
    <w:abstractNumId w:val="6"/>
  </w:num>
  <w:num w:numId="11" w16cid:durableId="1460874800">
    <w:abstractNumId w:val="29"/>
  </w:num>
  <w:num w:numId="12" w16cid:durableId="411708666">
    <w:abstractNumId w:val="12"/>
  </w:num>
  <w:num w:numId="13" w16cid:durableId="2048096332">
    <w:abstractNumId w:val="21"/>
  </w:num>
  <w:num w:numId="14" w16cid:durableId="1891650210">
    <w:abstractNumId w:val="33"/>
  </w:num>
  <w:num w:numId="15" w16cid:durableId="1607616170">
    <w:abstractNumId w:val="22"/>
  </w:num>
  <w:num w:numId="16" w16cid:durableId="233466723">
    <w:abstractNumId w:val="10"/>
  </w:num>
  <w:num w:numId="17" w16cid:durableId="1645767496">
    <w:abstractNumId w:val="28"/>
  </w:num>
  <w:num w:numId="18" w16cid:durableId="252321238">
    <w:abstractNumId w:val="0"/>
  </w:num>
  <w:num w:numId="19" w16cid:durableId="476917777">
    <w:abstractNumId w:val="23"/>
  </w:num>
  <w:num w:numId="20" w16cid:durableId="1772777622">
    <w:abstractNumId w:val="11"/>
  </w:num>
  <w:num w:numId="21" w16cid:durableId="1788968183">
    <w:abstractNumId w:val="3"/>
  </w:num>
  <w:num w:numId="22" w16cid:durableId="610861761">
    <w:abstractNumId w:val="20"/>
  </w:num>
  <w:num w:numId="23" w16cid:durableId="1971664545">
    <w:abstractNumId w:val="25"/>
  </w:num>
  <w:num w:numId="24" w16cid:durableId="608897400">
    <w:abstractNumId w:val="30"/>
  </w:num>
  <w:num w:numId="25" w16cid:durableId="1956253478">
    <w:abstractNumId w:val="32"/>
  </w:num>
  <w:num w:numId="26" w16cid:durableId="1531263786">
    <w:abstractNumId w:val="19"/>
  </w:num>
  <w:num w:numId="27" w16cid:durableId="394622429">
    <w:abstractNumId w:val="2"/>
  </w:num>
  <w:num w:numId="28" w16cid:durableId="1898584674">
    <w:abstractNumId w:val="27"/>
  </w:num>
  <w:num w:numId="29" w16cid:durableId="4401381">
    <w:abstractNumId w:val="17"/>
  </w:num>
  <w:num w:numId="30" w16cid:durableId="1180434852">
    <w:abstractNumId w:val="5"/>
  </w:num>
  <w:num w:numId="31" w16cid:durableId="319693864">
    <w:abstractNumId w:val="9"/>
  </w:num>
  <w:num w:numId="32" w16cid:durableId="989554387">
    <w:abstractNumId w:val="16"/>
  </w:num>
  <w:num w:numId="33" w16cid:durableId="1751462298">
    <w:abstractNumId w:val="4"/>
  </w:num>
  <w:num w:numId="34" w16cid:durableId="524170487">
    <w:abstractNumId w:val="8"/>
  </w:num>
  <w:num w:numId="35" w16cid:durableId="17012042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BA8"/>
    <w:rsid w:val="000411F4"/>
    <w:rsid w:val="00071516"/>
    <w:rsid w:val="00092E81"/>
    <w:rsid w:val="000B1C60"/>
    <w:rsid w:val="000B3526"/>
    <w:rsid w:val="000B5576"/>
    <w:rsid w:val="001011D8"/>
    <w:rsid w:val="001015E8"/>
    <w:rsid w:val="00111A62"/>
    <w:rsid w:val="00166B28"/>
    <w:rsid w:val="00170782"/>
    <w:rsid w:val="00183F73"/>
    <w:rsid w:val="0018751F"/>
    <w:rsid w:val="001876D7"/>
    <w:rsid w:val="001E4939"/>
    <w:rsid w:val="001F3850"/>
    <w:rsid w:val="001F5775"/>
    <w:rsid w:val="0020376B"/>
    <w:rsid w:val="00210966"/>
    <w:rsid w:val="00216F30"/>
    <w:rsid w:val="002229B8"/>
    <w:rsid w:val="00254B2E"/>
    <w:rsid w:val="00267071"/>
    <w:rsid w:val="002810C0"/>
    <w:rsid w:val="0029217E"/>
    <w:rsid w:val="003039F1"/>
    <w:rsid w:val="00336375"/>
    <w:rsid w:val="003A65E2"/>
    <w:rsid w:val="003B4D81"/>
    <w:rsid w:val="003D5779"/>
    <w:rsid w:val="003F138F"/>
    <w:rsid w:val="00426ADC"/>
    <w:rsid w:val="00465E1F"/>
    <w:rsid w:val="0047157C"/>
    <w:rsid w:val="004A708E"/>
    <w:rsid w:val="004F41B4"/>
    <w:rsid w:val="004F5A22"/>
    <w:rsid w:val="004F7192"/>
    <w:rsid w:val="005325DC"/>
    <w:rsid w:val="00546E9A"/>
    <w:rsid w:val="0058387F"/>
    <w:rsid w:val="00587EFF"/>
    <w:rsid w:val="005A0784"/>
    <w:rsid w:val="005A5F5D"/>
    <w:rsid w:val="005A7B97"/>
    <w:rsid w:val="005D189A"/>
    <w:rsid w:val="005E0497"/>
    <w:rsid w:val="005E4881"/>
    <w:rsid w:val="005E6C01"/>
    <w:rsid w:val="005F24CC"/>
    <w:rsid w:val="005F4F80"/>
    <w:rsid w:val="00605D0A"/>
    <w:rsid w:val="00641F72"/>
    <w:rsid w:val="00662B29"/>
    <w:rsid w:val="006A61BB"/>
    <w:rsid w:val="00703A0C"/>
    <w:rsid w:val="00720017"/>
    <w:rsid w:val="007527E8"/>
    <w:rsid w:val="00753219"/>
    <w:rsid w:val="0079572B"/>
    <w:rsid w:val="00795CC9"/>
    <w:rsid w:val="007A0236"/>
    <w:rsid w:val="007C7D53"/>
    <w:rsid w:val="007D4E59"/>
    <w:rsid w:val="007E58AB"/>
    <w:rsid w:val="007F5E80"/>
    <w:rsid w:val="00803D83"/>
    <w:rsid w:val="008139B6"/>
    <w:rsid w:val="00816EF6"/>
    <w:rsid w:val="00845205"/>
    <w:rsid w:val="00851161"/>
    <w:rsid w:val="00862AAD"/>
    <w:rsid w:val="008644C4"/>
    <w:rsid w:val="00865B8E"/>
    <w:rsid w:val="00881913"/>
    <w:rsid w:val="00883D11"/>
    <w:rsid w:val="008B7D7F"/>
    <w:rsid w:val="008D7865"/>
    <w:rsid w:val="008E06FF"/>
    <w:rsid w:val="008E70B9"/>
    <w:rsid w:val="00906727"/>
    <w:rsid w:val="009119A6"/>
    <w:rsid w:val="009217AE"/>
    <w:rsid w:val="0092466F"/>
    <w:rsid w:val="00950FB6"/>
    <w:rsid w:val="00973539"/>
    <w:rsid w:val="009A0B45"/>
    <w:rsid w:val="009A4285"/>
    <w:rsid w:val="009B69F7"/>
    <w:rsid w:val="00A072FC"/>
    <w:rsid w:val="00A10621"/>
    <w:rsid w:val="00A15D9E"/>
    <w:rsid w:val="00A16C3B"/>
    <w:rsid w:val="00A25969"/>
    <w:rsid w:val="00A30E2C"/>
    <w:rsid w:val="00A73316"/>
    <w:rsid w:val="00A820A2"/>
    <w:rsid w:val="00A8638F"/>
    <w:rsid w:val="00A86CE7"/>
    <w:rsid w:val="00A8771B"/>
    <w:rsid w:val="00AE13AC"/>
    <w:rsid w:val="00AF0DC6"/>
    <w:rsid w:val="00B16305"/>
    <w:rsid w:val="00B45824"/>
    <w:rsid w:val="00B87DF7"/>
    <w:rsid w:val="00B93D9A"/>
    <w:rsid w:val="00BA58D2"/>
    <w:rsid w:val="00BE47ED"/>
    <w:rsid w:val="00C20DD4"/>
    <w:rsid w:val="00C25C57"/>
    <w:rsid w:val="00C27CA8"/>
    <w:rsid w:val="00C31439"/>
    <w:rsid w:val="00C37964"/>
    <w:rsid w:val="00C574B8"/>
    <w:rsid w:val="00C71323"/>
    <w:rsid w:val="00C73483"/>
    <w:rsid w:val="00CA22C4"/>
    <w:rsid w:val="00D30D27"/>
    <w:rsid w:val="00D62DEC"/>
    <w:rsid w:val="00D71D04"/>
    <w:rsid w:val="00D85DD1"/>
    <w:rsid w:val="00DA186B"/>
    <w:rsid w:val="00DD141B"/>
    <w:rsid w:val="00E338CF"/>
    <w:rsid w:val="00E33F5E"/>
    <w:rsid w:val="00E44D0E"/>
    <w:rsid w:val="00E454A8"/>
    <w:rsid w:val="00E5791F"/>
    <w:rsid w:val="00E60EE4"/>
    <w:rsid w:val="00E73BA8"/>
    <w:rsid w:val="00EA7D61"/>
    <w:rsid w:val="00EB778D"/>
    <w:rsid w:val="00EC1000"/>
    <w:rsid w:val="00FB3112"/>
    <w:rsid w:val="00FC5FE6"/>
    <w:rsid w:val="00FD433D"/>
    <w:rsid w:val="00FF00F2"/>
    <w:rsid w:val="00FF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82BA"/>
  <w15:chartTrackingRefBased/>
  <w15:docId w15:val="{7368FA60-B78F-4869-8702-D44E7E88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82"/>
  </w:style>
  <w:style w:type="paragraph" w:styleId="Ttulo1">
    <w:name w:val="heading 1"/>
    <w:basedOn w:val="Normal"/>
    <w:next w:val="Normal"/>
    <w:link w:val="Ttulo1Car"/>
    <w:uiPriority w:val="9"/>
    <w:qFormat/>
    <w:rsid w:val="00E73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3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3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3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3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3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3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3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3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3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3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3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3B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3B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3B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3B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3B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3B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3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3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3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3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3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3B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3B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3B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3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3B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3BA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3BA8"/>
  </w:style>
  <w:style w:type="paragraph" w:styleId="Piedepgina">
    <w:name w:val="footer"/>
    <w:basedOn w:val="Normal"/>
    <w:link w:val="Piedepgina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BA8"/>
  </w:style>
  <w:style w:type="table" w:customStyle="1" w:styleId="TableNormal">
    <w:name w:val="Table Normal"/>
    <w:uiPriority w:val="2"/>
    <w:semiHidden/>
    <w:unhideWhenUsed/>
    <w:qFormat/>
    <w:rsid w:val="00E73BA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73BA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73BA8"/>
    <w:pPr>
      <w:widowControl w:val="0"/>
      <w:autoSpaceDE w:val="0"/>
      <w:autoSpaceDN w:val="0"/>
      <w:spacing w:after="0" w:line="240" w:lineRule="auto"/>
      <w:ind w:left="820"/>
    </w:pPr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3BA8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1225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Yessica, Castrillon Garcia</dc:creator>
  <cp:keywords/>
  <dc:description/>
  <cp:lastModifiedBy>Diana Carolina, Martinez Campos</cp:lastModifiedBy>
  <cp:revision>3</cp:revision>
  <dcterms:created xsi:type="dcterms:W3CDTF">2026-04-27T02:20:00Z</dcterms:created>
  <dcterms:modified xsi:type="dcterms:W3CDTF">2026-04-27T02:22:00Z</dcterms:modified>
</cp:coreProperties>
</file>